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4553d4" w:sz="6"/>
        </w:pBdr>
        <w:shd w:fill="eaecfb" w:val="clear"/>
        <w:spacing w:after="120" w:before="1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DRAFT — Adapt for your institution. Replace all </w:t>
      </w:r>
      <w:r>
        <w:rPr>
          <w:rFonts w:ascii="Calibri" w:cs="Calibri" w:eastAsia="Calibri" w:hAnsi="Calibri"/>
          <w:b/>
          <w:bCs/>
          <w:color w:val="4553d4"/>
          <w:sz w:val="22"/>
          <w:szCs w:val="22"/>
        </w:rPr>
        <w:t xml:space="preserve">[placeholder]</w:t>
      </w:r>
      <w:r>
        <w:rPr>
          <w:rFonts w:ascii="Calibri" w:cs="Calibri" w:eastAsia="Calibri" w:hAnsi="Calibri"/>
          <w:sz w:val="22"/>
          <w:szCs w:val="22"/>
        </w:rPr>
        <w:t xml:space="preserve"> fields with institutional specifics. Have legal counsel review before adoption.</w:t>
      </w:r>
    </w:p>
    <w:p>
      <w:pPr>
        <w:spacing w:after="80"/>
      </w:pP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Working document for cataloging every AI tool and AI-powered feature in use across the advancement operation.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Use this worksheet to catalog every AI system and AI-enabled feature in use across your advancement operation. Include standalone AI tools, AI features embedded in existing platforms (CRM scoring, predictive analytics modules, generative drafting assistants), and any third-party services that apply machine learning to institutional data.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Review and update quarterly, or whenever a new AI system is adopted or an existing system changes scope. The completed inventory feeds into risk classification, vendor assessment, and compliance review.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Risk tiers referenced below are defined in the AI Governance Committee Charter: Tier 1 = minimal risk, Tier 2 = moderate risk, Tier 3 = high risk.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Data sensitivity levels: Public — published or freely available. Internal — not public but not regulated. Sensitive — includes PII or data subject to contractual restrictions. Restricted — regulated data (FERPA, HIPAA) or legally privileged.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Decision impact levels: Informational — provides context only, no direct action follows. Advisory — recommends an action a human then takes. Determinative — drives a decision with minimal human override. Automated — system acts without human intervention.</w:t>
      </w:r>
    </w:p>
    <w:p>
      <w:pPr>
        <w:pStyle w:val="Heading1"/>
        <w:spacing w:after="120" w:before="0"/>
      </w:pPr>
      <w:r>
        <w:t xml:space="preserve">System inventory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Complete one row per AI system. Pre-filled rows are examples — replace or remove them as needed.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pct" w:w="6.666666666666667%"/>
            <w:shd w:fill="eaecfb" w:val="clear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System name</w:t>
            </w:r>
          </w:p>
        </w:tc>
        <w:tc>
          <w:tcPr>
            <w:tcW w:type="pct" w:w="6.666666666666667%"/>
            <w:shd w:fill="eaecfb" w:val="clear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Vendor / source</w:t>
            </w:r>
          </w:p>
        </w:tc>
        <w:tc>
          <w:tcPr>
            <w:tcW w:type="pct" w:w="6.666666666666667%"/>
            <w:shd w:fill="eaecfb" w:val="clear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Function</w:t>
            </w:r>
          </w:p>
        </w:tc>
        <w:tc>
          <w:tcPr>
            <w:tcW w:type="pct" w:w="6.666666666666667%"/>
            <w:shd w:fill="eaecfb" w:val="clear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Business process</w:t>
            </w:r>
          </w:p>
        </w:tc>
        <w:tc>
          <w:tcPr>
            <w:tcW w:type="pct" w:w="6.666666666666667%"/>
            <w:shd w:fill="eaecfb" w:val="clear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Data inputs (sensitivity)</w:t>
            </w:r>
          </w:p>
        </w:tc>
        <w:tc>
          <w:tcPr>
            <w:tcW w:type="pct" w:w="6.666666666666667%"/>
            <w:shd w:fill="eaecfb" w:val="clear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Data outputs</w:t>
            </w:r>
          </w:p>
        </w:tc>
        <w:tc>
          <w:tcPr>
            <w:tcW w:type="pct" w:w="6.666666666666667%"/>
            <w:shd w:fill="eaecfb" w:val="clear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Data residency</w:t>
            </w:r>
          </w:p>
        </w:tc>
        <w:tc>
          <w:tcPr>
            <w:tcW w:type="pct" w:w="6.666666666666667%"/>
            <w:shd w:fill="eaecfb" w:val="clear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Training data scope</w:t>
            </w:r>
          </w:p>
        </w:tc>
        <w:tc>
          <w:tcPr>
            <w:tcW w:type="pct" w:w="6.666666666666667%"/>
            <w:shd w:fill="eaecfb" w:val="clear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Decision impact</w:t>
            </w:r>
          </w:p>
        </w:tc>
        <w:tc>
          <w:tcPr>
            <w:tcW w:type="pct" w:w="6.666666666666667%"/>
            <w:shd w:fill="eaecfb" w:val="clear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review</w:t>
            </w:r>
          </w:p>
        </w:tc>
        <w:tc>
          <w:tcPr>
            <w:tcW w:type="pct" w:w="6.666666666666667%"/>
            <w:shd w:fill="eaecfb" w:val="clear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Constituent exposure</w:t>
            </w:r>
          </w:p>
        </w:tc>
        <w:tc>
          <w:tcPr>
            <w:tcW w:type="pct" w:w="6.666666666666667%"/>
            <w:shd w:fill="eaecfb" w:val="clear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Regulatory surface</w:t>
            </w:r>
          </w:p>
        </w:tc>
        <w:tc>
          <w:tcPr>
            <w:tcW w:type="pct" w:w="6.666666666666667%"/>
            <w:shd w:fill="eaecfb" w:val="clear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Risk tier</w:t>
            </w:r>
          </w:p>
        </w:tc>
        <w:tc>
          <w:tcPr>
            <w:tcW w:type="pct" w:w="6.666666666666667%"/>
            <w:shd w:fill="eaecfb" w:val="clear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Owner</w:t>
            </w:r>
          </w:p>
        </w:tc>
        <w:tc>
          <w:tcPr>
            <w:tcW w:type="pct" w:w="6.666666666666667%"/>
            <w:shd w:fill="eaecfb" w:val="clear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Last reviewed</w:t>
            </w:r>
          </w:p>
        </w:tc>
      </w:tr>
      <w:tr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CRM Prospect Scoring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  <w:r>
              <w:rPr>
                <w:rFonts w:ascii="Calibri" w:cs="Calibri" w:eastAsia="Calibri" w:hAnsi="Calibri"/>
                <w:b/>
                <w:bCs/>
                <w:color w:val="4553d4"/>
                <w:sz w:val="22"/>
                <w:szCs w:val="22"/>
              </w:rPr>
              <w:t xml:space="preserve">[CRM Vendor]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Assigns propensity and affinity scores to prospects based on giving history, engagement, and demographic data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Prospect identification and portfolio prioritization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Giving history, event attendance, email engagement, biographical data (Internal)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Prospect scores, rank-ordered prospect lists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Vendor cloud (US)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Aggregated (multi-client)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Advisory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Yes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Yes — scores influence solicitation priority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FERPA (school official exception); State law (profiling)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  <w:r>
              <w:rPr>
                <w:rFonts w:ascii="Calibri" w:cs="Calibri" w:eastAsia="Calibri" w:hAnsi="Calibri"/>
                <w:b/>
                <w:bCs/>
                <w:color w:val="4553d4"/>
                <w:sz w:val="22"/>
                <w:szCs w:val="22"/>
              </w:rPr>
              <w:t xml:space="preserve">[Director, Prospect Research]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  <w:r>
              <w:rPr>
                <w:rFonts w:ascii="Calibri" w:cs="Calibri" w:eastAsia="Calibri" w:hAnsi="Calibri"/>
                <w:b/>
                <w:bCs/>
                <w:color w:val="4553d4"/>
                <w:sz w:val="22"/>
                <w:szCs w:val="22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Enterprise AI Assistant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  <w:r>
              <w:rPr>
                <w:rFonts w:ascii="Calibri" w:cs="Calibri" w:eastAsia="Calibri" w:hAnsi="Calibri"/>
                <w:b/>
                <w:bCs/>
                <w:color w:val="4553d4"/>
                <w:sz w:val="22"/>
                <w:szCs w:val="22"/>
              </w:rPr>
              <w:t xml:space="preserve">[Vendor]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Drafts donor correspondence, proposals, and stewardship reports from staff prompts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Donor communications and stewardship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Staff prompts, templates, institutional boilerplate (Internal)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Draft text for human review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Vendor cloud (US)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Pre-trained (general-purpose LLM)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Informational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Yes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Indirect — outputs shape constituent communications after human review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None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  <w:r>
              <w:rPr>
                <w:rFonts w:ascii="Calibri" w:cs="Calibri" w:eastAsia="Calibri" w:hAnsi="Calibri"/>
                <w:b/>
                <w:bCs/>
                <w:color w:val="4553d4"/>
                <w:sz w:val="22"/>
                <w:szCs w:val="22"/>
              </w:rPr>
              <w:t xml:space="preserve">[Director, Annual Giving]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  <w:r>
              <w:rPr>
                <w:rFonts w:ascii="Calibri" w:cs="Calibri" w:eastAsia="Calibri" w:hAnsi="Calibri"/>
                <w:b/>
                <w:bCs/>
                <w:color w:val="4553d4"/>
                <w:sz w:val="22"/>
                <w:szCs w:val="22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Wealth Screening AI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  <w:r>
              <w:rPr>
                <w:rFonts w:ascii="Calibri" w:cs="Calibri" w:eastAsia="Calibri" w:hAnsi="Calibri"/>
                <w:b/>
                <w:bCs/>
                <w:color w:val="4553d4"/>
                <w:sz w:val="22"/>
                <w:szCs w:val="22"/>
              </w:rPr>
              <w:t xml:space="preserve">[Data Provider]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Estimates net worth, real estate holdings, and philanthropic capacity using public and proprietary data sources with ML models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Prospect research and major gift pipeline development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Constituent names, addresses, employer data (Sensitive — results include estimated financial data)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Wealth estimates, capacity ratings, giving indicators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Vendor cloud (US)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Aggregated (multi-client + public records)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Advisory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Yes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Yes — influences solicitation strategy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FERPA; State privacy law (financial data, profiling)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  <w:r>
              <w:rPr>
                <w:rFonts w:ascii="Calibri" w:cs="Calibri" w:eastAsia="Calibri" w:hAnsi="Calibri"/>
                <w:b/>
                <w:bCs/>
                <w:color w:val="4553d4"/>
                <w:sz w:val="22"/>
                <w:szCs w:val="22"/>
              </w:rPr>
              <w:t xml:space="preserve">[Director, Prospect Research]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  <w:r>
              <w:rPr>
                <w:rFonts w:ascii="Calibri" w:cs="Calibri" w:eastAsia="Calibri" w:hAnsi="Calibri"/>
                <w:b/>
                <w:bCs/>
                <w:color w:val="4553d4"/>
                <w:sz w:val="22"/>
                <w:szCs w:val="22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</w:tr>
      <w:tr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</w:tr>
      <w:tr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  <w:tc>
          <w:tcPr>
            <w:tcW w:type="pct" w:w="6.666666666666667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&amp;nbsp;</w:t>
            </w:r>
          </w:p>
        </w:tc>
      </w:tr>
    </w:tbl>
    <w:p>
      <w:pPr>
        <w:pStyle w:val="Heading1"/>
        <w:spacing w:after="120" w:before="0"/>
      </w:pPr>
      <w: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Document any AI features identified during the inventory that require further assessment, reclassification, or committee review.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Published by Volentas as a reference for advancement technology leaders. This is not legal advice. Consult your institution's legal counsel for regulatory compliance specific to your organization.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20" w:footer="7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8f0" w:sz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64748b"/>
        <w:sz w:val="14"/>
        <w:szCs w:val="14"/>
      </w:rPr>
      <w:t xml:space="preserve">volentas.com</w:t>
    </w:r>
    <w:r>
      <w:t xml:space="preserve">	</w:t>
    </w:r>
    <w:r>
      <w:rPr>
        <w:rFonts w:ascii="Calibri" w:cs="Calibri" w:eastAsia="Calibri" w:hAnsi="Calibri"/>
        <w:i/>
        <w:iCs/>
        <w:color w:val="64748b"/>
        <w:sz w:val="14"/>
        <w:szCs w:val="14"/>
      </w:rPr>
      <w:t xml:space="preserve">DRAFT — Adapt for your institution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2e8f0" w:sz="1"/>
      </w:pBdr>
      <w:spacing w:after="100"/>
    </w:pPr>
    <w:r>
      <w:rPr>
        <w:rFonts w:ascii="Calibri Light" w:cs="Calibri Light" w:eastAsia="Calibri Light" w:hAnsi="Calibri Light"/>
        <w:b/>
        <w:bCs/>
        <w:color w:val="4553d4"/>
        <w:sz w:val="16"/>
        <w:szCs w:val="16"/>
      </w:rPr>
      <w:t xml:space="preserve">VOLENTAS</w:t>
    </w:r>
    <w:r>
      <w:rPr>
        <w:rFonts w:ascii="Calibri" w:cs="Calibri" w:eastAsia="Calibri" w:hAnsi="Calibri"/>
        <w:color w:val="64748b"/>
        <w:sz w:val="16"/>
        <w:szCs w:val="16"/>
      </w:rPr>
      <w:t xml:space="preserve">  |  AI Governance Framework — System Inventory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System Inventory Worksheet</dc:title>
  <dc:creator>Volentas</dc:creator>
  <dc:description>AI Governance Framework — System Inventory Template</dc:description>
  <cp:lastModifiedBy>Un-named</cp:lastModifiedBy>
  <cp:revision>1</cp:revision>
  <dcterms:created xsi:type="dcterms:W3CDTF">2026-09-04T13:02:04.237Z</dcterms:created>
  <dcterms:modified xsi:type="dcterms:W3CDTF">2026-09-04T13:02:04.237Z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